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Risk Register</w:t>
      </w:r>
    </w:p>
    <w:p>
      <w:pPr>
        <w:jc w:val="center"/>
      </w:pPr>
      <w:r>
        <w:rPr>
          <w:color w:val="5C4A3A"/>
          <w:sz w:val="25"/>
        </w:rPr>
        <w:t>PRINCE2-Aligned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PRINCE2 project-management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Purpose</w:t>
      </w:r>
    </w:p>
    <w:p>
      <w:r>
        <w:t>[This register captures, assesses, and tracks risks throughout the project lifecycle, per PRINCE2 risk management principles.]</w:t>
      </w:r>
    </w:p>
    <w:p>
      <w:pPr>
        <w:pStyle w:val="Heading1"/>
      </w:pPr>
      <w:r>
        <w:t>2. Scoring Guide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Score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Likelihood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Impact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Very unlikely</w:t>
            </w:r>
          </w:p>
        </w:tc>
        <w:tc>
          <w:tcPr>
            <w:tcW w:type="dxa" w:w="2880"/>
          </w:tcPr>
          <w:p>
            <w:r>
              <w:t>Negligible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Unlikely</w:t>
            </w:r>
          </w:p>
        </w:tc>
        <w:tc>
          <w:tcPr>
            <w:tcW w:type="dxa" w:w="2880"/>
          </w:tcPr>
          <w:p>
            <w:r>
              <w:t>Minor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Possible</w:t>
            </w:r>
          </w:p>
        </w:tc>
        <w:tc>
          <w:tcPr>
            <w:tcW w:type="dxa" w:w="2880"/>
          </w:tcPr>
          <w:p>
            <w:r>
              <w:t>Moderate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Likely</w:t>
            </w:r>
          </w:p>
        </w:tc>
        <w:tc>
          <w:tcPr>
            <w:tcW w:type="dxa" w:w="2880"/>
          </w:tcPr>
          <w:p>
            <w:r>
              <w:t>Major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Very likely</w:t>
            </w:r>
          </w:p>
        </w:tc>
        <w:tc>
          <w:tcPr>
            <w:tcW w:type="dxa" w:w="2880"/>
          </w:tcPr>
          <w:p>
            <w:r>
              <w:t>Severe</w:t>
            </w:r>
          </w:p>
        </w:tc>
      </w:tr>
    </w:tbl>
    <w:p/>
    <w:p>
      <w:pPr>
        <w:pStyle w:val="Heading1"/>
      </w:pPr>
      <w:r>
        <w:t>3. Risk Register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fill="FFF3E0"/>
          </w:tcPr>
          <w:p>
            <w:r>
              <w:rPr>
                <w:b/>
              </w:rPr>
              <w:t>ID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Risk Description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Likelihood</w:t>
              <w:br/>
              <w:t>(1-5)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Impact</w:t>
              <w:br/>
              <w:t>(1-5)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Score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Mitigation / Response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Owner</w:t>
            </w:r>
          </w:p>
        </w:tc>
        <w:tc>
          <w:tcPr>
            <w:tcW w:type="dxa" w:w="1080"/>
            <w:shd w:fill="FFF3E0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1080"/>
          </w:tcPr>
          <w:p>
            <w:r>
              <w:t>R1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Open</w:t>
            </w:r>
          </w:p>
        </w:tc>
      </w:tr>
      <w:tr>
        <w:tc>
          <w:tcPr>
            <w:tcW w:type="dxa" w:w="1080"/>
          </w:tcPr>
          <w:p>
            <w:r>
              <w:t>R2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Open</w:t>
            </w:r>
          </w:p>
        </w:tc>
      </w:tr>
      <w:tr>
        <w:tc>
          <w:tcPr>
            <w:tcW w:type="dxa" w:w="1080"/>
          </w:tcPr>
          <w:p>
            <w:r>
              <w:t>R3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[Insert]</w:t>
            </w:r>
          </w:p>
        </w:tc>
        <w:tc>
          <w:tcPr>
            <w:tcW w:type="dxa" w:w="1080"/>
          </w:tcPr>
          <w:p>
            <w:r>
              <w:t>Open</w:t>
            </w:r>
          </w:p>
        </w:tc>
      </w:tr>
    </w:tbl>
    <w:p/>
    <w:p>
      <w:pPr>
        <w:pStyle w:val="Heading1"/>
      </w:pPr>
      <w:r>
        <w:t>4. Review Cadence</w:t>
      </w:r>
    </w:p>
    <w:p>
      <w:r>
        <w:t>[State how often this register is reviewed — e.g. weekly at team level, monthly at project board level — and who owns keeping it current.]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